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1405. “05”——银发就业与康养旅游：消费场景及决策因素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确定行业：01_银发经济</w:t>
      </w:r>
    </w:p>
    <w:p>
      <w:r>
        <w:rPr>
          <w:rFonts w:ascii="宋体" w:hAnsi="宋体" w:eastAsia="宋体"/>
          <w:b w:val="0"/>
          <w:sz w:val="22"/>
        </w:rPr>
        <w:t>研究对象：01_银发经济相关目标人群</w:t>
      </w:r>
    </w:p>
    <w:p>
      <w:r>
        <w:rPr>
          <w:rFonts w:ascii="宋体" w:hAnsi="宋体" w:eastAsia="宋体"/>
          <w:b w:val="0"/>
          <w:sz w:val="22"/>
        </w:rPr>
        <w:t>核心问题/变量：银发就业与康养旅游：消费场景及决策因素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