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1427. “07”——精神文化与银发就业：体验痛点及改善期待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确定行业：01_银发经济</w:t>
      </w:r>
    </w:p>
    <w:p>
      <w:r>
        <w:rPr>
          <w:rFonts w:ascii="宋体" w:hAnsi="宋体" w:eastAsia="宋体"/>
          <w:b w:val="0"/>
          <w:sz w:val="22"/>
        </w:rPr>
        <w:t>研究对象：01_银发经济相关目标人群</w:t>
      </w:r>
    </w:p>
    <w:p>
      <w:r>
        <w:rPr>
          <w:rFonts w:ascii="宋体" w:hAnsi="宋体" w:eastAsia="宋体"/>
          <w:b w:val="0"/>
          <w:sz w:val="22"/>
        </w:rPr>
        <w:t>核心问题/变量：精神文化与银发就业：体验痛点及改善期待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