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1429. “09”——财富规划与数字使用：消费场景及决策因素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确定行业：01_银发经济</w:t>
      </w:r>
    </w:p>
    <w:p>
      <w:r>
        <w:rPr>
          <w:rFonts w:ascii="宋体" w:hAnsi="宋体" w:eastAsia="宋体"/>
          <w:b w:val="0"/>
          <w:sz w:val="22"/>
        </w:rPr>
        <w:t>研究对象：01_银发经济相关目标人群</w:t>
      </w:r>
    </w:p>
    <w:p>
      <w:r>
        <w:rPr>
          <w:rFonts w:ascii="宋体" w:hAnsi="宋体" w:eastAsia="宋体"/>
          <w:b w:val="0"/>
          <w:sz w:val="22"/>
        </w:rPr>
        <w:t>核心问题/变量：财富规划与数字使用：消费场景及决策因素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