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1440. “10”——代际关系及老年消费和适老科技：人群画像与市场机会（样本差异10）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确定行业：01_银发经济</w:t>
      </w:r>
    </w:p>
    <w:p>
      <w:r>
        <w:rPr>
          <w:rFonts w:ascii="宋体" w:hAnsi="宋体" w:eastAsia="宋体"/>
          <w:b w:val="0"/>
          <w:sz w:val="22"/>
        </w:rPr>
        <w:t>研究对象：01_银发经济相关目标人群</w:t>
      </w:r>
    </w:p>
    <w:p>
      <w:r>
        <w:rPr>
          <w:rFonts w:ascii="宋体" w:hAnsi="宋体" w:eastAsia="宋体"/>
          <w:b w:val="0"/>
          <w:sz w:val="22"/>
        </w:rPr>
        <w:t>核心问题/变量：代际关系及老年消费和适老科技：人群画像与市场机会（样本差异10）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