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1442. “02”——精神文化和银发就业及康养旅游：服务评价与未来意愿（样本差异12）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核心问题/变量：精神文化和银发就业及康养旅游：服务评价与未来意愿（样本差异12）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