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1448. “03”——领养行为与宠物保险：体验痛点及改善期待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确定行业：02_宠物经济</w:t>
      </w:r>
    </w:p>
    <w:p>
      <w:r>
        <w:rPr>
          <w:rFonts w:ascii="宋体" w:hAnsi="宋体" w:eastAsia="宋体"/>
          <w:b w:val="0"/>
          <w:sz w:val="22"/>
        </w:rPr>
        <w:t>研究对象：02_宠物经济相关目标人群</w:t>
      </w:r>
    </w:p>
    <w:p>
      <w:r>
        <w:rPr>
          <w:rFonts w:ascii="宋体" w:hAnsi="宋体" w:eastAsia="宋体"/>
          <w:b w:val="0"/>
          <w:sz w:val="22"/>
        </w:rPr>
        <w:t>核心问题/变量：领养行为与宠物保险：体验痛点及改善期待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