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1450. “05”——主粮选择与情绪价值：消费场景及决策因素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核心问题/变量：主粮选择与情绪价值：消费场景及决策因素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