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1455. “10”——智能用品及领养行为和宠物保险：人群画像与市场机会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确定行业：02_宠物经济</w:t>
      </w:r>
    </w:p>
    <w:p>
      <w:r>
        <w:rPr>
          <w:rFonts w:ascii="宋体" w:hAnsi="宋体" w:eastAsia="宋体"/>
          <w:b w:val="0"/>
          <w:sz w:val="22"/>
        </w:rPr>
        <w:t>研究对象：02_宠物经济相关目标人群</w:t>
      </w:r>
    </w:p>
    <w:p>
      <w:r>
        <w:rPr>
          <w:rFonts w:ascii="宋体" w:hAnsi="宋体" w:eastAsia="宋体"/>
          <w:b w:val="0"/>
          <w:sz w:val="22"/>
        </w:rPr>
        <w:t>核心问题/变量：智能用品及领养行为和宠物保险：人群画像与市场机会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