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1457. “02”——洗护消费和主粮选择及情绪价值：服务评价与未来意愿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确定行业：02_宠物经济</w:t>
      </w:r>
    </w:p>
    <w:p>
      <w:r>
        <w:rPr>
          <w:rFonts w:ascii="宋体" w:hAnsi="宋体" w:eastAsia="宋体"/>
          <w:b w:val="0"/>
          <w:sz w:val="22"/>
        </w:rPr>
        <w:t>研究对象：02_宠物经济相关目标人群</w:t>
      </w:r>
    </w:p>
    <w:p>
      <w:r>
        <w:rPr>
          <w:rFonts w:ascii="宋体" w:hAnsi="宋体" w:eastAsia="宋体"/>
          <w:b w:val="0"/>
          <w:sz w:val="22"/>
        </w:rPr>
        <w:t>核心问题/变量：洗护消费和主粮选择及情绪价值：服务评价与未来意愿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