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1466. “01”——社区养宠与训练服务：体验痛点及改善期待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确定行业：02_宠物经济</w:t>
      </w:r>
    </w:p>
    <w:p>
      <w:r>
        <w:rPr>
          <w:rFonts w:ascii="宋体" w:hAnsi="宋体" w:eastAsia="宋体"/>
          <w:b w:val="0"/>
          <w:sz w:val="22"/>
        </w:rPr>
        <w:t>研究对象：02_宠物经济相关目标人群</w:t>
      </w:r>
    </w:p>
    <w:p>
      <w:r>
        <w:rPr>
          <w:rFonts w:ascii="宋体" w:hAnsi="宋体" w:eastAsia="宋体"/>
          <w:b w:val="0"/>
          <w:sz w:val="22"/>
        </w:rPr>
        <w:t>核心问题/变量：社区养宠与训练服务：体验痛点及改善期待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