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1471. “AI洞察05”——智能客服与教育应用：消费场景及决策因素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确定行业：03_人工智能与数字科技</w:t>
      </w:r>
    </w:p>
    <w:p>
      <w:r>
        <w:rPr>
          <w:rFonts w:ascii="宋体" w:hAnsi="宋体" w:eastAsia="宋体"/>
          <w:b w:val="0"/>
          <w:sz w:val="22"/>
        </w:rPr>
        <w:t>研究对象：03_人工智能与数字科技相关目标人群</w:t>
      </w:r>
    </w:p>
    <w:p>
      <w:r>
        <w:rPr>
          <w:rFonts w:ascii="宋体" w:hAnsi="宋体" w:eastAsia="宋体"/>
          <w:b w:val="0"/>
          <w:sz w:val="22"/>
        </w:rPr>
        <w:t>核心问题/变量：智能客服与教育应用：消费场景及决策因素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