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1491. “AI洞察05”——算力需求与数据安全及生成式内容：需求、行为与趋势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确定行业：03_人工智能与数字科技</w:t>
      </w:r>
    </w:p>
    <w:p>
      <w:r>
        <w:rPr>
          <w:rFonts w:ascii="宋体" w:hAnsi="宋体" w:eastAsia="宋体"/>
          <w:b w:val="0"/>
          <w:sz w:val="22"/>
        </w:rPr>
        <w:t>研究对象：03_人工智能与数字科技相关目标人群</w:t>
      </w:r>
    </w:p>
    <w:p>
      <w:r>
        <w:rPr>
          <w:rFonts w:ascii="宋体" w:hAnsi="宋体" w:eastAsia="宋体"/>
          <w:b w:val="0"/>
          <w:sz w:val="22"/>
        </w:rPr>
        <w:t>核心问题/变量：算力需求与数据安全及生成式内容：需求、行为与趋势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