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1496. “AI洞察10”——隐私保护和人机协作及大模型应用：服务评价与未来意愿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确定行业：03_人工智能与数字科技</w:t>
      </w:r>
    </w:p>
    <w:p>
      <w:r>
        <w:rPr>
          <w:rFonts w:ascii="宋体" w:hAnsi="宋体" w:eastAsia="宋体"/>
          <w:b w:val="0"/>
          <w:sz w:val="22"/>
        </w:rPr>
        <w:t>研究对象：03_人工智能与数字科技相关目标人群</w:t>
      </w:r>
    </w:p>
    <w:p>
      <w:r>
        <w:rPr>
          <w:rFonts w:ascii="宋体" w:hAnsi="宋体" w:eastAsia="宋体"/>
          <w:b w:val="0"/>
          <w:sz w:val="22"/>
        </w:rPr>
        <w:t>核心问题/变量：隐私保护和人机协作及大模型应用：服务评价与未来意愿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