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1544. “10”——短途旅行及沉浸体验和文博展览：人群画像与市场机会（样本差异33）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确定行业：04_文化旅游与演艺</w:t>
      </w:r>
    </w:p>
    <w:p>
      <w:r>
        <w:rPr>
          <w:rFonts w:ascii="宋体" w:hAnsi="宋体" w:eastAsia="宋体"/>
          <w:b w:val="0"/>
          <w:sz w:val="22"/>
        </w:rPr>
        <w:t>研究对象：04_文化旅游与演艺相关目标人群</w:t>
      </w:r>
    </w:p>
    <w:p>
      <w:r>
        <w:rPr>
          <w:rFonts w:ascii="宋体" w:hAnsi="宋体" w:eastAsia="宋体"/>
          <w:b w:val="0"/>
          <w:sz w:val="22"/>
        </w:rPr>
        <w:t>核心问题/变量：短途旅行及沉浸体验和文博展览：人群画像与市场机会（样本差异33）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