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1546. “02”——演艺经济和夜游场景及亲子出行：服务评价与未来意愿（样本差异35）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核心问题/变量：演艺经济和夜游场景及亲子出行：服务评价与未来意愿（样本差异35）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