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1549. “05”——节庆活动与内容营销：体验痛点及改善期待（样本差异38）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确定行业：04_文化旅游与演艺</w:t>
      </w:r>
    </w:p>
    <w:p>
      <w:r>
        <w:rPr>
          <w:rFonts w:ascii="宋体" w:hAnsi="宋体" w:eastAsia="宋体"/>
          <w:b w:val="0"/>
          <w:sz w:val="22"/>
        </w:rPr>
        <w:t>研究对象：04_文化旅游与演艺相关目标人群</w:t>
      </w:r>
    </w:p>
    <w:p>
      <w:r>
        <w:rPr>
          <w:rFonts w:ascii="宋体" w:hAnsi="宋体" w:eastAsia="宋体"/>
          <w:b w:val="0"/>
          <w:sz w:val="22"/>
        </w:rPr>
        <w:t>核心问题/变量：节庆活动与内容营销：体验痛点及改善期待（样本差异38）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