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1558. “04”——文化遗产和景区消费及短途旅行：服务评价与未来意愿（样本差异47）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核心问题/变量：文化遗产和景区消费及短途旅行：服务评价与未来意愿（样本差异47）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