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1559. “05”——短途旅行与沉浸体验及文博展览：需求、行为与趋势（样本差异48）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核心问题/变量：短途旅行与沉浸体验及文博展览：需求、行为与趋势（样本差异48）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