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1568. “07”——体育直播与赛事旅游及智能穿戴：需求、行为与趋势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确定行业：05_体育健身与户外运动</w:t>
      </w:r>
    </w:p>
    <w:p>
      <w:r>
        <w:rPr>
          <w:rFonts w:ascii="宋体" w:hAnsi="宋体" w:eastAsia="宋体"/>
          <w:b w:val="0"/>
          <w:sz w:val="22"/>
        </w:rPr>
        <w:t>研究对象：05_体育健身与户外运动相关目标人群</w:t>
      </w:r>
    </w:p>
    <w:p>
      <w:r>
        <w:rPr>
          <w:rFonts w:ascii="宋体" w:hAnsi="宋体" w:eastAsia="宋体"/>
          <w:b w:val="0"/>
          <w:sz w:val="22"/>
        </w:rPr>
        <w:t>核心问题/变量：体育直播与赛事旅游及智能穿戴：需求、行为与趋势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