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1585. “04”——赛事消费和运动装备及青少年训练：服务评价与未来意愿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确定行业：05_体育健身与户外运动</w:t>
      </w:r>
    </w:p>
    <w:p>
      <w:r>
        <w:rPr>
          <w:rFonts w:ascii="宋体" w:hAnsi="宋体" w:eastAsia="宋体"/>
          <w:b w:val="0"/>
          <w:sz w:val="22"/>
        </w:rPr>
        <w:t>研究对象：05_体育健身与户外运动相关目标人群</w:t>
      </w:r>
    </w:p>
    <w:p>
      <w:r>
        <w:rPr>
          <w:rFonts w:ascii="宋体" w:hAnsi="宋体" w:eastAsia="宋体"/>
          <w:b w:val="0"/>
          <w:sz w:val="22"/>
        </w:rPr>
        <w:t>核心问题/变量：赛事消费和运动装备及青少年训练：服务评价与未来意愿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