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1600. “09”——堂食体验与连锁经营：体验痛点及改善期待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确定行业：06_餐饮食品</w:t>
      </w:r>
    </w:p>
    <w:p>
      <w:r>
        <w:rPr>
          <w:rFonts w:ascii="宋体" w:hAnsi="宋体" w:eastAsia="宋体"/>
          <w:b w:val="0"/>
          <w:sz w:val="22"/>
        </w:rPr>
        <w:t>研究对象：06_餐饮食品相关目标人群</w:t>
      </w:r>
    </w:p>
    <w:p>
      <w:r>
        <w:rPr>
          <w:rFonts w:ascii="宋体" w:hAnsi="宋体" w:eastAsia="宋体"/>
          <w:b w:val="0"/>
          <w:sz w:val="22"/>
        </w:rPr>
        <w:t>核心问题/变量：堂食体验与连锁经营：体验痛点及改善期待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