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1605. “04”——门店选址和供应链管理：选择逻辑及变化方向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确定行业：06_餐饮食品</w:t>
      </w:r>
    </w:p>
    <w:p>
      <w:r>
        <w:rPr>
          <w:rFonts w:ascii="宋体" w:hAnsi="宋体" w:eastAsia="宋体"/>
          <w:b w:val="0"/>
          <w:sz w:val="22"/>
        </w:rPr>
        <w:t>研究对象：06_餐饮食品相关目标人群</w:t>
      </w:r>
    </w:p>
    <w:p>
      <w:r>
        <w:rPr>
          <w:rFonts w:ascii="宋体" w:hAnsi="宋体" w:eastAsia="宋体"/>
          <w:b w:val="0"/>
          <w:sz w:val="22"/>
        </w:rPr>
        <w:t>核心问题/变量：门店选址和供应链管理：选择逻辑及变化方向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