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1608. “07”——连锁经营与地方风味：消费场景及决策因素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确定行业：06_餐饮食品</w:t>
      </w:r>
    </w:p>
    <w:p>
      <w:r>
        <w:rPr>
          <w:rFonts w:ascii="宋体" w:hAnsi="宋体" w:eastAsia="宋体"/>
          <w:b w:val="0"/>
          <w:sz w:val="22"/>
        </w:rPr>
        <w:t>研究对象：06_餐饮食品相关目标人群</w:t>
      </w:r>
    </w:p>
    <w:p>
      <w:r>
        <w:rPr>
          <w:rFonts w:ascii="宋体" w:hAnsi="宋体" w:eastAsia="宋体"/>
          <w:b w:val="0"/>
          <w:sz w:val="22"/>
        </w:rPr>
        <w:t>核心问题/变量：连锁经营与地方风味：消费场景及决策因素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