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1629. “06”——全渠道融合和消费信心及仓储配送：服务评价与未来意愿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确定行业：07_零售商业与消费新形态</w:t>
      </w:r>
    </w:p>
    <w:p>
      <w:r>
        <w:rPr>
          <w:rFonts w:ascii="宋体" w:hAnsi="宋体" w:eastAsia="宋体"/>
          <w:b w:val="0"/>
          <w:sz w:val="22"/>
        </w:rPr>
        <w:t>研究对象：07_零售商业与消费新形态相关目标人群</w:t>
      </w:r>
    </w:p>
    <w:p>
      <w:r>
        <w:rPr>
          <w:rFonts w:ascii="宋体" w:hAnsi="宋体" w:eastAsia="宋体"/>
          <w:b w:val="0"/>
          <w:sz w:val="22"/>
        </w:rPr>
        <w:t>核心问题/变量：全渠道融合和消费信心及仓储配送：服务评价与未来意愿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