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1655. “02”——线上购物和线下体验：选择逻辑及变化方向（样本差异54）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确定行业：07_零售商业与消费新形态</w:t>
      </w:r>
    </w:p>
    <w:p>
      <w:r>
        <w:rPr>
          <w:rFonts w:ascii="宋体" w:hAnsi="宋体" w:eastAsia="宋体"/>
          <w:b w:val="0"/>
          <w:sz w:val="22"/>
        </w:rPr>
        <w:t>研究对象：07_零售商业与消费新形态相关目标人群</w:t>
      </w:r>
    </w:p>
    <w:p>
      <w:r>
        <w:rPr>
          <w:rFonts w:ascii="宋体" w:hAnsi="宋体" w:eastAsia="宋体"/>
          <w:b w:val="0"/>
          <w:sz w:val="22"/>
        </w:rPr>
        <w:t>核心问题/变量：线上购物和线下体验：选择逻辑及变化方向（样本差异54）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