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1656. “03”——折扣消费与国货品牌：体验痛点及改善期待（样本差异55）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确定行业：07_零售商业与消费新形态</w:t>
      </w:r>
    </w:p>
    <w:p>
      <w:r>
        <w:rPr>
          <w:rFonts w:ascii="宋体" w:hAnsi="宋体" w:eastAsia="宋体"/>
          <w:b w:val="0"/>
          <w:sz w:val="22"/>
        </w:rPr>
        <w:t>研究对象：07_零售商业与消费新形态相关目标人群</w:t>
      </w:r>
    </w:p>
    <w:p>
      <w:r>
        <w:rPr>
          <w:rFonts w:ascii="宋体" w:hAnsi="宋体" w:eastAsia="宋体"/>
          <w:b w:val="0"/>
          <w:sz w:val="22"/>
        </w:rPr>
        <w:t>核心问题/变量：折扣消费与国货品牌：体验痛点及改善期待（样本差异55）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