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1658. “05”——便利店经营与购物决策：消费场景及决策因素（样本差异57）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确定行业：07_零售商业与消费新形态</w:t>
      </w:r>
    </w:p>
    <w:p>
      <w:r>
        <w:rPr>
          <w:rFonts w:ascii="宋体" w:hAnsi="宋体" w:eastAsia="宋体"/>
          <w:b w:val="0"/>
          <w:sz w:val="22"/>
        </w:rPr>
        <w:t>研究对象：07_零售商业与消费新形态相关目标人群</w:t>
      </w:r>
    </w:p>
    <w:p>
      <w:r>
        <w:rPr>
          <w:rFonts w:ascii="宋体" w:hAnsi="宋体" w:eastAsia="宋体"/>
          <w:b w:val="0"/>
          <w:sz w:val="22"/>
        </w:rPr>
        <w:t>核心问题/变量：便利店经营与购物决策：消费场景及决策因素（样本差异57）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