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1664. “06”——家庭结构和绿色建筑及居家办公：服务评价与未来意愿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确定行业：08_居住与城市更新</w:t>
      </w:r>
    </w:p>
    <w:p>
      <w:r>
        <w:rPr>
          <w:rFonts w:ascii="宋体" w:hAnsi="宋体" w:eastAsia="宋体"/>
          <w:b w:val="0"/>
          <w:sz w:val="22"/>
        </w:rPr>
        <w:t>研究对象：08_居住与城市更新相关目标人群</w:t>
      </w:r>
    </w:p>
    <w:p>
      <w:r>
        <w:rPr>
          <w:rFonts w:ascii="宋体" w:hAnsi="宋体" w:eastAsia="宋体"/>
          <w:b w:val="0"/>
          <w:sz w:val="22"/>
        </w:rPr>
        <w:t>核心问题/变量：家庭结构和绿色建筑及居家办公：服务评价与未来意愿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