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1674. “06”——住房需求及租赁选择和家居装修：人群画像与市场机会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核心问题/变量：住房需求及租赁选择和家居装修：人群画像与市场机会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