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1681. “03”——房产消费与住房需求：消费场景及决策因素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确定行业：08_居住与城市更新</w:t>
      </w:r>
    </w:p>
    <w:p>
      <w:r>
        <w:rPr>
          <w:rFonts w:ascii="宋体" w:hAnsi="宋体" w:eastAsia="宋体"/>
          <w:b w:val="0"/>
          <w:sz w:val="22"/>
        </w:rPr>
        <w:t>研究对象：08_居住与城市更新相关目标人群</w:t>
      </w:r>
    </w:p>
    <w:p>
      <w:r>
        <w:rPr>
          <w:rFonts w:ascii="宋体" w:hAnsi="宋体" w:eastAsia="宋体"/>
          <w:b w:val="0"/>
          <w:sz w:val="22"/>
        </w:rPr>
        <w:t>核心问题/变量：房产消费与住房需求：消费场景及决策因素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