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1687. “02”——智能驾驶和汽车后市场：选择逻辑及变化方向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确定行业：09_汽车与出行</w:t>
      </w:r>
    </w:p>
    <w:p>
      <w:r>
        <w:rPr>
          <w:rFonts w:ascii="宋体" w:hAnsi="宋体" w:eastAsia="宋体"/>
          <w:b w:val="0"/>
          <w:sz w:val="22"/>
        </w:rPr>
        <w:t>研究对象：09_汽车与出行相关目标人群</w:t>
      </w:r>
    </w:p>
    <w:p>
      <w:r>
        <w:rPr>
          <w:rFonts w:ascii="宋体" w:hAnsi="宋体" w:eastAsia="宋体"/>
          <w:b w:val="0"/>
          <w:sz w:val="22"/>
        </w:rPr>
        <w:t>核心问题/变量：智能驾驶和汽车后市场：选择逻辑及变化方向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