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1699. “04”——电池技术和座舱体验：选择逻辑及变化方向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确定行业：09_汽车与出行</w:t>
      </w:r>
    </w:p>
    <w:p>
      <w:r>
        <w:rPr>
          <w:rFonts w:ascii="宋体" w:hAnsi="宋体" w:eastAsia="宋体"/>
          <w:b w:val="0"/>
          <w:sz w:val="22"/>
        </w:rPr>
        <w:t>研究对象：09_汽车与出行相关目标人群</w:t>
      </w:r>
    </w:p>
    <w:p>
      <w:r>
        <w:rPr>
          <w:rFonts w:ascii="宋体" w:hAnsi="宋体" w:eastAsia="宋体"/>
          <w:b w:val="0"/>
          <w:sz w:val="22"/>
        </w:rPr>
        <w:t>核心问题/变量：电池技术和座舱体验：选择逻辑及变化方向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