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1710. “05”——汽车后市场与充电服务及二手车交易：需求、行为与趋势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确定行业：09_汽车与出行</w:t>
      </w:r>
    </w:p>
    <w:p>
      <w:r>
        <w:rPr>
          <w:rFonts w:ascii="宋体" w:hAnsi="宋体" w:eastAsia="宋体"/>
          <w:b w:val="0"/>
          <w:sz w:val="22"/>
        </w:rPr>
        <w:t>研究对象：09_汽车与出行相关目标人群</w:t>
      </w:r>
    </w:p>
    <w:p>
      <w:r>
        <w:rPr>
          <w:rFonts w:ascii="宋体" w:hAnsi="宋体" w:eastAsia="宋体"/>
          <w:b w:val="0"/>
          <w:sz w:val="22"/>
        </w:rPr>
        <w:t>核心问题/变量：汽车后市场与充电服务及二手车交易：需求、行为与趋势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