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1711. “01”——财富管理与普惠金融及数字支付：需求、行为与趋势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确定行业：10_金融保险与理财</w:t>
      </w:r>
    </w:p>
    <w:p>
      <w:r>
        <w:rPr>
          <w:rFonts w:ascii="宋体" w:hAnsi="宋体" w:eastAsia="宋体"/>
          <w:b w:val="0"/>
          <w:sz w:val="22"/>
        </w:rPr>
        <w:t>研究对象：10_金融保险与理财相关目标人群</w:t>
      </w:r>
    </w:p>
    <w:p>
      <w:r>
        <w:rPr>
          <w:rFonts w:ascii="宋体" w:hAnsi="宋体" w:eastAsia="宋体"/>
          <w:b w:val="0"/>
          <w:sz w:val="22"/>
        </w:rPr>
        <w:t>核心问题/变量：财富管理与普惠金融及数字支付：需求、行为与趋势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