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1728. “08”——投资行为和消费信贷及银行服务：服务评价与未来意愿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核心问题/变量：投资行为和消费信贷及银行服务：服务评价与未来意愿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