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1738. “04”——运动康复及互联网医疗和女性健康：人群画像与市场机会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确定行业：11_健康医疗</w:t>
      </w:r>
    </w:p>
    <w:p>
      <w:r>
        <w:rPr>
          <w:rFonts w:ascii="宋体" w:hAnsi="宋体" w:eastAsia="宋体"/>
          <w:b w:val="0"/>
          <w:sz w:val="22"/>
        </w:rPr>
        <w:t>研究对象：11_健康医疗相关目标人群</w:t>
      </w:r>
    </w:p>
    <w:p>
      <w:r>
        <w:rPr>
          <w:rFonts w:ascii="宋体" w:hAnsi="宋体" w:eastAsia="宋体"/>
          <w:b w:val="0"/>
          <w:sz w:val="22"/>
        </w:rPr>
        <w:t>核心问题/变量：运动康复及互联网医疗和女性健康：人群画像与市场机会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