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1742. “08”——健康消费和慢病管理：选择逻辑及变化方向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核心问题/变量：健康消费和慢病管理：选择逻辑及变化方向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