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1771. “07”——中医养生与家庭用药及健康消费：需求、行为与趋势（样本差异64）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核心问题/变量：中医养生与家庭用药及健康消费：需求、行为与趋势（样本差异64）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