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1772. “08”——健康消费和慢病管理：选择逻辑及变化方向（样本差异65）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核心问题/变量：健康消费和慢病管理：选择逻辑及变化方向（样本差异65）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