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1774. “10”——健康体检及睡眠质量和营养膳食：人群画像与市场机会（样本差异67）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确定行业：11_健康医疗</w:t>
      </w:r>
    </w:p>
    <w:p>
      <w:r>
        <w:rPr>
          <w:rFonts w:ascii="宋体" w:hAnsi="宋体" w:eastAsia="宋体"/>
          <w:b w:val="0"/>
          <w:sz w:val="22"/>
        </w:rPr>
        <w:t>研究对象：11_健康医疗相关目标人群</w:t>
      </w:r>
    </w:p>
    <w:p>
      <w:r>
        <w:rPr>
          <w:rFonts w:ascii="宋体" w:hAnsi="宋体" w:eastAsia="宋体"/>
          <w:b w:val="0"/>
          <w:sz w:val="22"/>
        </w:rPr>
        <w:t>核心问题/变量：健康体检及睡眠质量和营养膳食：人群画像与市场机会（样本差异67）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