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1786. “02”——升学规划和人工智能教育及课后服务：服务评价与未来意愿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确定行业：12_教育与培训</w:t>
      </w:r>
    </w:p>
    <w:p>
      <w:r>
        <w:rPr>
          <w:rFonts w:ascii="宋体" w:hAnsi="宋体" w:eastAsia="宋体"/>
          <w:b w:val="0"/>
          <w:sz w:val="22"/>
        </w:rPr>
        <w:t>研究对象：12_教育与培训相关目标人群</w:t>
      </w:r>
    </w:p>
    <w:p>
      <w:r>
        <w:rPr>
          <w:rFonts w:ascii="宋体" w:hAnsi="宋体" w:eastAsia="宋体"/>
          <w:b w:val="0"/>
          <w:sz w:val="22"/>
        </w:rPr>
        <w:t>核心问题/变量：升学规划和人工智能教育及课后服务：服务评价与未来意愿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