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1788. “04”——学习工具和青少年成长：选择逻辑及变化方向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确定行业：12_教育与培训</w:t>
      </w:r>
    </w:p>
    <w:p>
      <w:r>
        <w:rPr>
          <w:rFonts w:ascii="宋体" w:hAnsi="宋体" w:eastAsia="宋体"/>
          <w:b w:val="0"/>
          <w:sz w:val="22"/>
        </w:rPr>
        <w:t>研究对象：12_教育与培训相关目标人群</w:t>
      </w:r>
    </w:p>
    <w:p>
      <w:r>
        <w:rPr>
          <w:rFonts w:ascii="宋体" w:hAnsi="宋体" w:eastAsia="宋体"/>
          <w:b w:val="0"/>
          <w:sz w:val="22"/>
        </w:rPr>
        <w:t>核心问题/变量：学习工具和青少年成长：选择逻辑及变化方向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