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1789. “05”——教育消费与技能提升：体验痛点及改善期待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核心问题/变量：教育消费与技能提升：体验痛点及改善期待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