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1790. “06”——基础教育及职业培训和素质教育：人群画像与市场机会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确定行业：12_教育与培训</w:t>
      </w:r>
    </w:p>
    <w:p>
      <w:r>
        <w:rPr>
          <w:rFonts w:ascii="宋体" w:hAnsi="宋体" w:eastAsia="宋体"/>
          <w:b w:val="0"/>
          <w:sz w:val="22"/>
        </w:rPr>
        <w:t>研究对象：12_教育与培训相关目标人群</w:t>
      </w:r>
    </w:p>
    <w:p>
      <w:r>
        <w:rPr>
          <w:rFonts w:ascii="宋体" w:hAnsi="宋体" w:eastAsia="宋体"/>
          <w:b w:val="0"/>
          <w:sz w:val="22"/>
        </w:rPr>
        <w:t>核心问题/变量：基础教育及职业培训和素质教育：人群画像与市场机会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