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1801. “07”——升学规划与人工智能教育：体验痛点及改善期待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确定行业：12_教育与培训</w:t>
      </w:r>
    </w:p>
    <w:p>
      <w:r>
        <w:rPr>
          <w:rFonts w:ascii="宋体" w:hAnsi="宋体" w:eastAsia="宋体"/>
          <w:b w:val="0"/>
          <w:sz w:val="22"/>
        </w:rPr>
        <w:t>研究对象：12_教育与培训相关目标人群</w:t>
      </w:r>
    </w:p>
    <w:p>
      <w:r>
        <w:rPr>
          <w:rFonts w:ascii="宋体" w:hAnsi="宋体" w:eastAsia="宋体"/>
          <w:b w:val="0"/>
          <w:sz w:val="22"/>
        </w:rPr>
        <w:t>核心问题/变量：升学规划与人工智能教育：体验痛点及改善期待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