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1804. “10”——教育消费和技能提升及基础教育：服务评价与未来意愿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确定行业：12_教育与培训</w:t>
      </w:r>
    </w:p>
    <w:p>
      <w:r>
        <w:rPr>
          <w:rFonts w:ascii="宋体" w:hAnsi="宋体" w:eastAsia="宋体"/>
          <w:b w:val="0"/>
          <w:sz w:val="22"/>
        </w:rPr>
        <w:t>研究对象：12_教育与培训相关目标人群</w:t>
      </w:r>
    </w:p>
    <w:p>
      <w:r>
        <w:rPr>
          <w:rFonts w:ascii="宋体" w:hAnsi="宋体" w:eastAsia="宋体"/>
          <w:b w:val="0"/>
          <w:sz w:val="22"/>
        </w:rPr>
        <w:t>核心问题/变量：教育消费和技能提升及基础教育：服务评价与未来意愿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