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1815. “08”——工作生活平衡和就业选择：选择逻辑及变化方向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确定行业：13_职场与新就业</w:t>
      </w:r>
    </w:p>
    <w:p>
      <w:r>
        <w:rPr>
          <w:rFonts w:ascii="宋体" w:hAnsi="宋体" w:eastAsia="宋体"/>
          <w:b w:val="0"/>
          <w:sz w:val="22"/>
        </w:rPr>
        <w:t>研究对象：13_职场与新就业相关目标人群</w:t>
      </w:r>
    </w:p>
    <w:p>
      <w:r>
        <w:rPr>
          <w:rFonts w:ascii="宋体" w:hAnsi="宋体" w:eastAsia="宋体"/>
          <w:b w:val="0"/>
          <w:sz w:val="22"/>
        </w:rPr>
        <w:t>核心问题/变量：工作生活平衡和就业选择：选择逻辑及变化方向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