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1822. “05”——招聘需求与工作生活平衡：体验痛点及改善期待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核心问题/变量：招聘需求与工作生活平衡：体验痛点及改善期待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