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1825. “08”——薪酬福利和工作压力及远程办公：服务评价与未来意愿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核心问题/变量：薪酬福利和工作压力及远程办公：服务评价与未来意愿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