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1829. “02”——组织文化及招聘需求和工作生活平衡：人群画像与市场机会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核心问题/变量：组织文化及招聘需求和工作生活平衡：人群画像与市场机会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